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3686"/>
        <w:gridCol w:w="5386"/>
      </w:tblGrid>
      <w:tr w:rsidR="00BA6C87" w:rsidRPr="00BA6C87" w:rsidTr="0099657D">
        <w:tc>
          <w:tcPr>
            <w:tcW w:w="1276" w:type="dxa"/>
          </w:tcPr>
          <w:p w:rsidR="00BA6C87" w:rsidRPr="00BA6C87" w:rsidRDefault="0033061C" w:rsidP="0033061C">
            <w:pPr>
              <w:rPr>
                <w:rFonts w:cs="Times New Roman"/>
              </w:rPr>
            </w:pPr>
            <w:r>
              <w:rPr>
                <w:rFonts w:cs="Times New Roman"/>
              </w:rPr>
              <w:t>05.02</w:t>
            </w:r>
            <w:r w:rsidR="00BA6C87" w:rsidRPr="00BA6C87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20</w:t>
            </w:r>
          </w:p>
        </w:tc>
        <w:tc>
          <w:tcPr>
            <w:tcW w:w="3686" w:type="dxa"/>
          </w:tcPr>
          <w:p w:rsidR="00BA6C87" w:rsidRPr="00BA6C87" w:rsidRDefault="0033061C" w:rsidP="0007282D">
            <w:pPr>
              <w:ind w:right="176" w:firstLine="459"/>
              <w:jc w:val="both"/>
              <w:rPr>
                <w:rFonts w:cs="Times New Roman"/>
              </w:rPr>
            </w:pPr>
            <w:r w:rsidRPr="0033061C">
              <w:rPr>
                <w:rFonts w:cs="Times New Roman"/>
              </w:rPr>
              <w:t>В Северо-Уральское управление Ростехнадзора поступило письмо заявителя с просьбой о разъяснении, требуется ли проект на выполнение монтажных работ на подключение светильника</w:t>
            </w:r>
          </w:p>
        </w:tc>
        <w:tc>
          <w:tcPr>
            <w:tcW w:w="5386" w:type="dxa"/>
          </w:tcPr>
          <w:p w:rsidR="0033061C" w:rsidRDefault="0033061C" w:rsidP="0033061C">
            <w:pPr>
              <w:pStyle w:val="Style2"/>
              <w:shd w:val="clear" w:color="auto" w:fill="auto"/>
              <w:spacing w:before="0" w:line="240" w:lineRule="auto"/>
              <w:ind w:left="60" w:right="40" w:firstLine="541"/>
              <w:rPr>
                <w:sz w:val="22"/>
                <w:szCs w:val="22"/>
              </w:rPr>
            </w:pP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данный вопрос Управлением дан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ответ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следующего содержания</w:t>
            </w:r>
            <w:r>
              <w:rPr>
                <w:sz w:val="22"/>
                <w:szCs w:val="22"/>
              </w:rPr>
              <w:t>:</w:t>
            </w:r>
          </w:p>
          <w:p w:rsidR="00BA6C87" w:rsidRPr="00227CB7" w:rsidRDefault="0033061C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3061C">
              <w:rPr>
                <w:rFonts w:asciiTheme="minorHAnsi" w:hAnsiTheme="minorHAnsi" w:cs="Times New Roman"/>
                <w:sz w:val="22"/>
                <w:szCs w:val="22"/>
              </w:rPr>
              <w:t>Электрическое освещение должно соответствовать требованиям раздела 6 Правил устройства электроустановок, утвержденных приказом Минэнерго России от 20.06.2003 № 242. Для выполнения работ по подключению дополнительного светильника, разработка проектной документации не предусмотрена.</w:t>
            </w:r>
          </w:p>
        </w:tc>
      </w:tr>
      <w:tr w:rsidR="0033061C" w:rsidRPr="00BA6C87" w:rsidTr="0099657D">
        <w:tc>
          <w:tcPr>
            <w:tcW w:w="1276" w:type="dxa"/>
          </w:tcPr>
          <w:p w:rsidR="0033061C" w:rsidRPr="00BA6C87" w:rsidRDefault="007C7A77" w:rsidP="00BA6C87">
            <w:pPr>
              <w:rPr>
                <w:rFonts w:cs="Times New Roman"/>
              </w:rPr>
            </w:pPr>
            <w:r>
              <w:rPr>
                <w:rFonts w:cs="Times New Roman"/>
              </w:rPr>
              <w:t>11.02.2020</w:t>
            </w:r>
          </w:p>
        </w:tc>
        <w:tc>
          <w:tcPr>
            <w:tcW w:w="3686" w:type="dxa"/>
          </w:tcPr>
          <w:p w:rsidR="0033061C" w:rsidRPr="00BA6C87" w:rsidRDefault="007C7A77" w:rsidP="0007282D">
            <w:pPr>
              <w:ind w:right="176" w:firstLine="459"/>
              <w:jc w:val="both"/>
              <w:rPr>
                <w:rFonts w:cs="Times New Roman"/>
              </w:rPr>
            </w:pPr>
            <w:r w:rsidRPr="0033061C">
              <w:rPr>
                <w:rFonts w:cs="Times New Roman"/>
              </w:rPr>
              <w:t xml:space="preserve">В Северо-Уральское управление Ростехнадзора поступило письмо заявителя с просьбой о </w:t>
            </w:r>
            <w:r w:rsidRPr="007C7A77">
              <w:rPr>
                <w:rFonts w:cs="Times New Roman"/>
              </w:rPr>
              <w:t>разъяснении категорий работников, подлежащих обязательному обучению</w:t>
            </w:r>
          </w:p>
        </w:tc>
        <w:tc>
          <w:tcPr>
            <w:tcW w:w="5386" w:type="dxa"/>
          </w:tcPr>
          <w:p w:rsidR="007C7A77" w:rsidRDefault="007C7A77" w:rsidP="007C7A77">
            <w:pPr>
              <w:pStyle w:val="Style2"/>
              <w:shd w:val="clear" w:color="auto" w:fill="auto"/>
              <w:spacing w:before="0" w:line="240" w:lineRule="auto"/>
              <w:ind w:left="60" w:right="40" w:firstLine="541"/>
              <w:rPr>
                <w:sz w:val="22"/>
                <w:szCs w:val="22"/>
              </w:rPr>
            </w:pP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данный вопрос Управлением дан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ответ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следующего содержания</w:t>
            </w:r>
            <w:r>
              <w:rPr>
                <w:sz w:val="22"/>
                <w:szCs w:val="22"/>
              </w:rPr>
              <w:t>:</w:t>
            </w:r>
          </w:p>
          <w:p w:rsidR="007C7A77" w:rsidRPr="007C7A77" w:rsidRDefault="007C7A77" w:rsidP="007C7A77">
            <w:pPr>
              <w:pStyle w:val="Style12"/>
              <w:shd w:val="clear" w:color="auto" w:fill="auto"/>
              <w:spacing w:before="0" w:line="240" w:lineRule="auto"/>
              <w:ind w:left="20" w:right="20" w:firstLine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Требования в части обучения и подготовки к прохождению аттестации в области промышленной безопасности, по вопросам безопасности гидротехнических сооружений, безопасности в сфере электроэнергетики определены постановлением Правительства Российской Федерации от 25.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shd w:val="clear" w:color="auto" w:fill="auto"/>
              </w:rPr>
              <w:t>10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.2019 № 1365.</w:t>
            </w:r>
          </w:p>
          <w:p w:rsidR="007C7A77" w:rsidRPr="007C7A77" w:rsidRDefault="007C7A77" w:rsidP="007C7A77">
            <w:pPr>
              <w:pStyle w:val="Style12"/>
              <w:shd w:val="clear" w:color="auto" w:fill="auto"/>
              <w:spacing w:before="0" w:line="240" w:lineRule="auto"/>
              <w:ind w:left="20" w:right="20" w:firstLine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Согласно пункту 1 вышеуказанного постановления, следующ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lang w:val="ru-RU"/>
              </w:rPr>
              <w:t>ии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 xml:space="preserve"> категории работников, в том числе руководителей организаций, 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изготовлением, монтажом, наладкой, обслуживанием и ремонтом технических устройств, применяемых на опасном производственном объекте, обязаны получать дополнительное профессиональное образование в области промышленной безопасности:</w:t>
            </w:r>
          </w:p>
          <w:p w:rsidR="007C7A77" w:rsidRPr="007C7A77" w:rsidRDefault="007C7A77" w:rsidP="007C7A77">
            <w:pPr>
              <w:pStyle w:val="Style12"/>
              <w:numPr>
                <w:ilvl w:val="0"/>
                <w:numId w:val="1"/>
              </w:numPr>
              <w:shd w:val="clear" w:color="auto" w:fill="auto"/>
              <w:tabs>
                <w:tab w:val="left" w:pos="1359"/>
              </w:tabs>
              <w:spacing w:before="0" w:line="240" w:lineRule="auto"/>
              <w:ind w:left="20" w:right="20" w:firstLine="6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 xml:space="preserve">работники, ответственные за осуществление 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shd w:val="clear" w:color="auto" w:fill="auto"/>
                <w:lang w:val="ru-RU"/>
              </w:rPr>
              <w:t>производственного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 xml:space="preserve"> контроля за соблюдением требований промышленной безопасности организа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lang w:val="ru-RU"/>
              </w:rPr>
              <w:t>циями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shd w:val="clear" w:color="auto" w:fill="auto"/>
              </w:rPr>
              <w:t xml:space="preserve">, 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эксплуатирующими опасные производственные объекты;</w:t>
            </w:r>
          </w:p>
          <w:p w:rsidR="007C7A77" w:rsidRPr="007C7A77" w:rsidRDefault="007C7A77" w:rsidP="007C7A77">
            <w:pPr>
              <w:pStyle w:val="Style12"/>
              <w:numPr>
                <w:ilvl w:val="0"/>
                <w:numId w:val="1"/>
              </w:numPr>
              <w:shd w:val="clear" w:color="auto" w:fill="auto"/>
              <w:tabs>
                <w:tab w:val="left" w:pos="1359"/>
              </w:tabs>
              <w:spacing w:before="0" w:line="240" w:lineRule="auto"/>
              <w:ind w:left="20" w:right="20" w:firstLine="6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работники, являющиеся членами аттестационных комиссий организаций, осуществляющих деятельность в области промышленной безопасности;</w:t>
            </w:r>
          </w:p>
          <w:p w:rsidR="007C7A77" w:rsidRPr="007C7A77" w:rsidRDefault="007C7A77" w:rsidP="007C7A77">
            <w:pPr>
              <w:pStyle w:val="Style12"/>
              <w:numPr>
                <w:ilvl w:val="0"/>
                <w:numId w:val="1"/>
              </w:numPr>
              <w:shd w:val="clear" w:color="auto" w:fill="auto"/>
              <w:tabs>
                <w:tab w:val="left" w:pos="1359"/>
              </w:tabs>
              <w:spacing w:before="0" w:line="240" w:lineRule="auto"/>
              <w:ind w:left="20" w:right="20" w:firstLine="6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работники, являющиеся специалистами, осуществляющими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объектов;</w:t>
            </w:r>
          </w:p>
          <w:p w:rsidR="007C7A77" w:rsidRPr="007C7A77" w:rsidRDefault="007C7A77" w:rsidP="007C7A77">
            <w:pPr>
              <w:pStyle w:val="Style12"/>
              <w:numPr>
                <w:ilvl w:val="0"/>
                <w:numId w:val="1"/>
              </w:numPr>
              <w:shd w:val="clear" w:color="auto" w:fill="auto"/>
              <w:tabs>
                <w:tab w:val="left" w:pos="1364"/>
              </w:tabs>
              <w:spacing w:before="0" w:line="240" w:lineRule="auto"/>
              <w:ind w:left="20" w:right="20" w:firstLine="6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работники, осуществляющие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  <w:p w:rsidR="007C7A77" w:rsidRPr="007C7A77" w:rsidRDefault="007C7A77" w:rsidP="007C7A77">
            <w:pPr>
              <w:pStyle w:val="Style12"/>
              <w:shd w:val="clear" w:color="auto" w:fill="auto"/>
              <w:spacing w:before="0" w:after="753" w:line="240" w:lineRule="auto"/>
              <w:ind w:left="20" w:right="20" w:firstLine="6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 xml:space="preserve">Требования к получению дополнительного профессионального образования в области 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lastRenderedPageBreak/>
              <w:t>промышленной безопасности для работников, не относящ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>хся ни к одной из четырех указанных выше категорий, постановлением Правительства Российской Федерации от 25.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  <w:shd w:val="clear" w:color="auto" w:fill="auto"/>
              </w:rPr>
              <w:t>10.2019</w:t>
            </w:r>
            <w:r w:rsidRPr="007C7A77">
              <w:rPr>
                <w:rStyle w:val="CharStyle13"/>
                <w:rFonts w:asciiTheme="minorHAnsi" w:hAnsiTheme="minorHAnsi"/>
                <w:sz w:val="22"/>
                <w:szCs w:val="22"/>
              </w:rPr>
              <w:t xml:space="preserve"> № 1365 не установлены.</w:t>
            </w:r>
          </w:p>
          <w:p w:rsidR="0033061C" w:rsidRPr="007C7A77" w:rsidRDefault="0033061C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  <w:lang w:val="ru"/>
              </w:rPr>
            </w:pPr>
          </w:p>
        </w:tc>
      </w:tr>
      <w:tr w:rsidR="0033061C" w:rsidRPr="00BA6C87" w:rsidTr="0099657D">
        <w:tc>
          <w:tcPr>
            <w:tcW w:w="1276" w:type="dxa"/>
          </w:tcPr>
          <w:p w:rsidR="0033061C" w:rsidRPr="00BA6C87" w:rsidRDefault="0071628C" w:rsidP="00BA6C8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20.03.2020</w:t>
            </w:r>
          </w:p>
        </w:tc>
        <w:tc>
          <w:tcPr>
            <w:tcW w:w="3686" w:type="dxa"/>
          </w:tcPr>
          <w:p w:rsidR="005E250B" w:rsidRPr="005E250B" w:rsidRDefault="007C7A77" w:rsidP="005E250B">
            <w:pPr>
              <w:ind w:right="176" w:firstLine="459"/>
              <w:jc w:val="both"/>
              <w:rPr>
                <w:rFonts w:cs="Times New Roman"/>
              </w:rPr>
            </w:pPr>
            <w:r w:rsidRPr="0033061C">
              <w:rPr>
                <w:rFonts w:cs="Times New Roman"/>
              </w:rPr>
              <w:t>В Северо-Уральское управление Ростехнадзора поступило письмо</w:t>
            </w:r>
            <w:r w:rsidR="005E250B">
              <w:rPr>
                <w:rFonts w:cs="Times New Roman"/>
              </w:rPr>
              <w:t xml:space="preserve"> гражданина с просьбой о пояснении, </w:t>
            </w:r>
            <w:r w:rsidR="005E250B" w:rsidRPr="005E250B">
              <w:rPr>
                <w:rFonts w:cs="Times New Roman"/>
              </w:rPr>
              <w:t>по вопросу кто может разрабатывать проект производства работ кранами (ППРк)? Эксплуатирующая ПС организация или специализированная организация, имеющая соответствую лицензию?</w:t>
            </w:r>
          </w:p>
          <w:p w:rsidR="005E250B" w:rsidRPr="005E250B" w:rsidRDefault="005E250B" w:rsidP="005E250B">
            <w:pPr>
              <w:ind w:right="176" w:firstLine="459"/>
              <w:jc w:val="both"/>
              <w:rPr>
                <w:rFonts w:cs="Times New Roman"/>
              </w:rPr>
            </w:pPr>
            <w:r w:rsidRPr="005E250B">
              <w:rPr>
                <w:rFonts w:cs="Times New Roman"/>
              </w:rPr>
              <w:t>В п.101 "Правил безопасности опасных производственных объектов, на которых используются подъемные сооружения" сказано, что ППР может быть разработан эксплуатирующей или специализированной организацией.</w:t>
            </w:r>
          </w:p>
          <w:p w:rsidR="0033061C" w:rsidRPr="00BA6C87" w:rsidRDefault="005E250B" w:rsidP="005E250B">
            <w:pPr>
              <w:ind w:right="176" w:firstLine="459"/>
              <w:jc w:val="both"/>
              <w:rPr>
                <w:rFonts w:cs="Times New Roman"/>
              </w:rPr>
            </w:pPr>
            <w:r w:rsidRPr="005E250B">
              <w:rPr>
                <w:rFonts w:cs="Times New Roman"/>
              </w:rPr>
              <w:t xml:space="preserve">Однако, в п. 1.3 РД-11-06-2007 сказано: "Проекты организации строительства (ПОС) разрабатываются проектными организациями с привлечением специализированных проектных организаций, имеющих лицензию на данный вид деятельности" и далее "Проекты производства работ и технологические карты на строительно-монтажные и погрузочно-разгрузочные работы с использованием грузоподъемных машин разрабатываются специалистами, имеющими опыт работы в строительстве, прошедшими подготовку и аттестованными в области промышленной безопасности опасных производственных объектов в порядке, установленном Службой". И вот здесь не понятно: речь идет о специалисте проектной организации или разрабатывать ППРк может любая организация, у </w:t>
            </w:r>
            <w:r w:rsidRPr="005E250B">
              <w:rPr>
                <w:rFonts w:cs="Times New Roman"/>
              </w:rPr>
              <w:lastRenderedPageBreak/>
              <w:t>которой есть специалист, соответствующий требованиям п.1.3 РД-11-06-2007?</w:t>
            </w:r>
          </w:p>
        </w:tc>
        <w:tc>
          <w:tcPr>
            <w:tcW w:w="5386" w:type="dxa"/>
          </w:tcPr>
          <w:p w:rsidR="007C7A77" w:rsidRDefault="007C7A77" w:rsidP="005E250B">
            <w:pPr>
              <w:pStyle w:val="Style2"/>
              <w:shd w:val="clear" w:color="auto" w:fill="auto"/>
              <w:spacing w:before="0" w:line="240" w:lineRule="auto"/>
              <w:ind w:left="60" w:right="40" w:firstLine="541"/>
              <w:rPr>
                <w:sz w:val="22"/>
                <w:szCs w:val="22"/>
              </w:rPr>
            </w:pP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На данный вопрос Управлением дан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ответ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следующего содержания</w:t>
            </w:r>
            <w:r>
              <w:rPr>
                <w:sz w:val="22"/>
                <w:szCs w:val="22"/>
              </w:rPr>
              <w:t>:</w:t>
            </w:r>
          </w:p>
          <w:p w:rsidR="005E250B" w:rsidRPr="005E250B" w:rsidRDefault="005E250B" w:rsidP="005E250B">
            <w:pPr>
              <w:ind w:firstLine="742"/>
              <w:jc w:val="both"/>
            </w:pP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</w:rPr>
              <w:t>Пунктом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101</w:t>
            </w: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</w:rPr>
              <w:t xml:space="preserve"> Федеральных норм и правил в области промышленной 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безопасности «Правила безопасности</w:t>
            </w:r>
            <w:r w:rsidRPr="005E250B">
              <w:rPr>
                <w:rStyle w:val="CharStyle21"/>
                <w:rFonts w:asciiTheme="minorHAnsi" w:eastAsiaTheme="minorHAnsi" w:hAnsiTheme="minorHAnsi"/>
                <w:sz w:val="22"/>
                <w:szCs w:val="22"/>
              </w:rPr>
              <w:t xml:space="preserve"> опасных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производственных объектов, на </w:t>
            </w:r>
            <w:r w:rsidRPr="005E250B">
              <w:rPr>
                <w:rStyle w:val="CharStyle21"/>
                <w:rFonts w:asciiTheme="minorHAnsi" w:eastAsiaTheme="minorHAnsi" w:hAnsiTheme="minorHAnsi"/>
                <w:sz w:val="22"/>
                <w:szCs w:val="22"/>
              </w:rPr>
              <w:t>которых используются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подъемные сооружения», утвержденных приказом Ростехнадзора от 12.11.2013 № 533, установлены требования к организациям, имеющим право на разработку проектов производства работ (ППР) и </w:t>
            </w:r>
            <w:r w:rsidRPr="005E250B">
              <w:rPr>
                <w:rStyle w:val="CharStyle22"/>
                <w:rFonts w:asciiTheme="minorHAnsi" w:eastAsiaTheme="minorHAnsi" w:hAnsiTheme="minorHAnsi"/>
                <w:sz w:val="22"/>
                <w:szCs w:val="22"/>
              </w:rPr>
              <w:t>технологически</w:t>
            </w:r>
            <w:r w:rsidRPr="005E250B">
              <w:rPr>
                <w:rStyle w:val="CharStyle22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>х</w:t>
            </w: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</w:rPr>
              <w:t xml:space="preserve"> </w:t>
            </w: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</w:rPr>
              <w:t>карт (ТК).</w:t>
            </w:r>
          </w:p>
          <w:p w:rsidR="005E250B" w:rsidRPr="005E250B" w:rsidRDefault="005E250B" w:rsidP="005E250B">
            <w:pPr>
              <w:ind w:firstLine="742"/>
              <w:jc w:val="both"/>
            </w:pP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</w:rPr>
              <w:t>Пунктом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1.3 РД</w:t>
            </w:r>
            <w:r w:rsidRPr="005E250B">
              <w:rPr>
                <w:rStyle w:val="CharStyle16"/>
                <w:sz w:val="22"/>
                <w:szCs w:val="22"/>
              </w:rPr>
              <w:t>-11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-06-2007 установлены требования к специалистам ор</w:t>
            </w:r>
            <w:r w:rsidRPr="005E250B">
              <w:rPr>
                <w:rStyle w:val="CharStyle22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>ганизаций, имеющих право на разработку проектов производства работ</w:t>
            </w: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</w:rPr>
              <w:t xml:space="preserve"> (ППР) </w:t>
            </w:r>
            <w:r w:rsidRPr="005E250B">
              <w:rPr>
                <w:rStyle w:val="CharStyle22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 xml:space="preserve">и </w:t>
            </w:r>
            <w:r w:rsidRPr="005E250B">
              <w:rPr>
                <w:rStyle w:val="CharStyle22"/>
                <w:rFonts w:asciiTheme="minorHAnsi" w:eastAsiaTheme="minorHAnsi" w:hAnsiTheme="minorHAnsi"/>
                <w:sz w:val="22"/>
                <w:szCs w:val="22"/>
                <w:lang w:val="ru-RU"/>
              </w:rPr>
              <w:t>технологических</w:t>
            </w:r>
            <w:r w:rsidRPr="005E250B">
              <w:rPr>
                <w:rStyle w:val="CharStyle20"/>
                <w:rFonts w:asciiTheme="minorHAnsi" w:eastAsiaTheme="minorHAnsi" w:hAnsiTheme="minorHAnsi"/>
                <w:b w:val="0"/>
                <w:sz w:val="22"/>
                <w:szCs w:val="22"/>
              </w:rPr>
              <w:t xml:space="preserve"> карт (ТК).</w:t>
            </w:r>
          </w:p>
          <w:p w:rsidR="005E250B" w:rsidRDefault="005E250B" w:rsidP="005E250B">
            <w:pPr>
              <w:ind w:firstLine="742"/>
              <w:jc w:val="both"/>
            </w:pP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основании вышеизложенного разработку проектов производства работ (ППР) и технол</w:t>
            </w:r>
            <w:r w:rsidRPr="005E250B">
              <w:rPr>
                <w:rStyle w:val="CharStyle16"/>
                <w:sz w:val="22"/>
                <w:szCs w:val="22"/>
              </w:rPr>
              <w:t>оги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чески х карт (ТК) может выполнять эксплуатирующая организация, имеющая в составе специалистов, с опытом работы в строительстве и прошедших подготовку и аттестованных в области промышленной безопасности опасных производственных объектов, в случае отсутствия вышеуказанных специалистов, проекты производства работ (ППР), технологические карты на погрузочно-разгрузочные работы (ТК) должны</w:t>
            </w:r>
            <w:r>
              <w:t xml:space="preserve"> 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разрабатывать специализированные организации и утверждаться руководителем </w:t>
            </w:r>
            <w:r w:rsidRPr="005E250B">
              <w:rPr>
                <w:rStyle w:val="CharStyle16"/>
                <w:sz w:val="22"/>
                <w:szCs w:val="22"/>
              </w:rPr>
              <w:t>экс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плу</w:t>
            </w:r>
            <w:r w:rsidRPr="005E250B">
              <w:rPr>
                <w:rStyle w:val="CharStyle16"/>
                <w:sz w:val="22"/>
                <w:szCs w:val="22"/>
              </w:rPr>
              <w:t>а</w:t>
            </w:r>
            <w:r w:rsidRPr="005E250B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тирующей организации, выполняющей эти работы.</w:t>
            </w:r>
          </w:p>
          <w:p w:rsidR="0033061C" w:rsidRPr="00227CB7" w:rsidRDefault="0033061C" w:rsidP="005E250B">
            <w:pPr>
              <w:pStyle w:val="ConsPlusNormal"/>
              <w:widowControl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3061C" w:rsidRPr="00BA6C87" w:rsidTr="0099657D">
        <w:tc>
          <w:tcPr>
            <w:tcW w:w="1276" w:type="dxa"/>
          </w:tcPr>
          <w:p w:rsidR="0033061C" w:rsidRPr="00BA6C87" w:rsidRDefault="0071628C" w:rsidP="00BA6C87">
            <w:pPr>
              <w:rPr>
                <w:rFonts w:cs="Times New Roman"/>
              </w:rPr>
            </w:pPr>
            <w:r>
              <w:rPr>
                <w:rFonts w:cs="Times New Roman"/>
              </w:rPr>
              <w:t>14.04.2020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3061C" w:rsidRPr="00BA6C87" w:rsidRDefault="0071628C" w:rsidP="0071628C">
            <w:pPr>
              <w:ind w:right="176" w:firstLine="459"/>
              <w:jc w:val="both"/>
              <w:rPr>
                <w:rFonts w:cs="Times New Roman"/>
              </w:rPr>
            </w:pPr>
            <w:r w:rsidRPr="0033061C">
              <w:rPr>
                <w:rFonts w:cs="Times New Roman"/>
              </w:rPr>
              <w:t>В Северо-Уральское управление Ростехнадзора поступило письмо</w:t>
            </w:r>
            <w:r>
              <w:rPr>
                <w:rFonts w:cs="Times New Roman"/>
              </w:rPr>
              <w:t xml:space="preserve"> гражданина с просьбой </w:t>
            </w:r>
            <w:r w:rsidRPr="0071628C">
              <w:rPr>
                <w:rFonts w:cs="Times New Roman"/>
              </w:rPr>
              <w:t>о даче разъяснения по вопросу учета, осмотра и проверки переносных и передвижных электроприемников, а также вспомогательного оборудования к ним. Распространяется ли действие главы 3.5. Правил технической эксплуатации электроустановок потребителей, в частности пунктов 3.5.6., 3.5.10., 3.5.11., на кабели-удлинители используемые для подключения к электрической сети ПЭВМ и другой оргтехники в офисных помещениях?</w:t>
            </w:r>
          </w:p>
        </w:tc>
        <w:tc>
          <w:tcPr>
            <w:tcW w:w="5386" w:type="dxa"/>
          </w:tcPr>
          <w:p w:rsidR="0071628C" w:rsidRPr="0071628C" w:rsidRDefault="0071628C" w:rsidP="0071628C">
            <w:pPr>
              <w:pStyle w:val="Style2"/>
              <w:shd w:val="clear" w:color="auto" w:fill="auto"/>
              <w:spacing w:before="0" w:line="240" w:lineRule="auto"/>
              <w:ind w:left="60" w:right="40" w:firstLine="541"/>
              <w:rPr>
                <w:sz w:val="22"/>
                <w:szCs w:val="22"/>
              </w:rPr>
            </w:pPr>
            <w:r w:rsidRPr="0071628C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данный вопрос Управлением дан ответ следующего содержания</w:t>
            </w:r>
            <w:r w:rsidRPr="0071628C">
              <w:rPr>
                <w:sz w:val="22"/>
                <w:szCs w:val="22"/>
              </w:rPr>
              <w:t>:</w:t>
            </w:r>
          </w:p>
          <w:p w:rsidR="0071628C" w:rsidRPr="0071628C" w:rsidRDefault="0071628C" w:rsidP="0071628C">
            <w:pPr>
              <w:pStyle w:val="ConsPlusNormal"/>
              <w:widowControl/>
              <w:ind w:right="34" w:firstLine="601"/>
              <w:jc w:val="both"/>
              <w:rPr>
                <w:rFonts w:asciiTheme="minorHAnsi" w:hAnsiTheme="minorHAnsi" w:cs="Times New Roman"/>
                <w:sz w:val="22"/>
                <w:szCs w:val="22"/>
                <w:lang w:val="ru"/>
              </w:rPr>
            </w:pPr>
            <w:r w:rsidRPr="0071628C">
              <w:rPr>
                <w:rFonts w:asciiTheme="minorHAnsi" w:hAnsiTheme="minorHAnsi" w:cs="Times New Roman"/>
                <w:sz w:val="22"/>
                <w:szCs w:val="22"/>
                <w:lang w:val="ru"/>
              </w:rPr>
              <w:t>Эксплуатация кабелей-удлинителей, применяемых в качестве вспомогательного оборудования к переносным и передвижным электроприемникам, должна осуществляться в соответствии с требованиями главы 3.5 Правил технической эксплуатации электроустановок потребителей, утвержденных приказом Министерства энергетики Российской Федерации от 13 января 2003 г. № 6.</w:t>
            </w:r>
          </w:p>
          <w:p w:rsidR="0033061C" w:rsidRPr="0071628C" w:rsidRDefault="0033061C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  <w:lang w:val="ru"/>
              </w:rPr>
            </w:pPr>
          </w:p>
        </w:tc>
      </w:tr>
    </w:tbl>
    <w:p w:rsidR="00514927" w:rsidRDefault="0071628C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7B"/>
    <w:multiLevelType w:val="multilevel"/>
    <w:tmpl w:val="823CC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0"/>
    <w:rsid w:val="00070BC4"/>
    <w:rsid w:val="0007282D"/>
    <w:rsid w:val="00100AC0"/>
    <w:rsid w:val="001557CB"/>
    <w:rsid w:val="0015657B"/>
    <w:rsid w:val="00227CB7"/>
    <w:rsid w:val="002D3BF7"/>
    <w:rsid w:val="0033061C"/>
    <w:rsid w:val="00402C6E"/>
    <w:rsid w:val="004805A2"/>
    <w:rsid w:val="005E250B"/>
    <w:rsid w:val="00652244"/>
    <w:rsid w:val="0071628C"/>
    <w:rsid w:val="007C7A77"/>
    <w:rsid w:val="007D3FDD"/>
    <w:rsid w:val="007F0563"/>
    <w:rsid w:val="00946D9D"/>
    <w:rsid w:val="00996765"/>
    <w:rsid w:val="00A5105B"/>
    <w:rsid w:val="00AE149A"/>
    <w:rsid w:val="00BA6C87"/>
    <w:rsid w:val="00C6228B"/>
    <w:rsid w:val="00D54E76"/>
    <w:rsid w:val="00D97B6F"/>
    <w:rsid w:val="00DC09E5"/>
    <w:rsid w:val="00D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4D3E-D542-48DE-B711-22A4330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A6C87"/>
    <w:rPr>
      <w:color w:val="0000FF"/>
      <w:u w:val="single"/>
    </w:rPr>
  </w:style>
  <w:style w:type="paragraph" w:customStyle="1" w:styleId="ConsPlusNormal">
    <w:name w:val="ConsPlusNormal"/>
    <w:rsid w:val="00BA6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1">
    <w:name w:val="Char Style 11"/>
    <w:basedOn w:val="a0"/>
    <w:link w:val="Style2"/>
    <w:rsid w:val="00BA6C87"/>
    <w:rPr>
      <w:sz w:val="27"/>
      <w:szCs w:val="27"/>
      <w:shd w:val="clear" w:color="auto" w:fill="FFFFFF"/>
    </w:rPr>
  </w:style>
  <w:style w:type="character" w:customStyle="1" w:styleId="CharStyle12">
    <w:name w:val="Char Style 12"/>
    <w:basedOn w:val="CharStyle11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13">
    <w:name w:val="Char Style 13"/>
    <w:basedOn w:val="CharStyle11"/>
    <w:link w:val="Style12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2">
    <w:name w:val="Style 2"/>
    <w:basedOn w:val="a"/>
    <w:link w:val="CharStyle11"/>
    <w:rsid w:val="00BA6C87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character" w:customStyle="1" w:styleId="CharStyle9">
    <w:name w:val="Char Style 9"/>
    <w:basedOn w:val="a0"/>
    <w:link w:val="Style8"/>
    <w:rsid w:val="00BA6C87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BA6C87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CharStyle6">
    <w:name w:val="Char Style 6"/>
    <w:basedOn w:val="a0"/>
    <w:rsid w:val="00BA6C87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7">
    <w:name w:val="Char Style 17"/>
    <w:basedOn w:val="CharStyle6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"/>
    </w:rPr>
  </w:style>
  <w:style w:type="paragraph" w:customStyle="1" w:styleId="a5">
    <w:name w:val="ШаблоУважаемый"/>
    <w:basedOn w:val="a"/>
    <w:link w:val="a6"/>
    <w:autoRedefine/>
    <w:uiPriority w:val="99"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ШаблоУважаемый Знак"/>
    <w:link w:val="a5"/>
    <w:uiPriority w:val="99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4">
    <w:name w:val="Char Style 14"/>
    <w:basedOn w:val="a0"/>
    <w:link w:val="Style13"/>
    <w:rsid w:val="00BA6C87"/>
    <w:rPr>
      <w:sz w:val="25"/>
      <w:szCs w:val="25"/>
      <w:shd w:val="clear" w:color="auto" w:fill="FFFFFF"/>
    </w:rPr>
  </w:style>
  <w:style w:type="character" w:customStyle="1" w:styleId="CharStyle19">
    <w:name w:val="Char Style 19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0">
    <w:name w:val="Char Style 20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2">
    <w:name w:val="Char Style 22"/>
    <w:basedOn w:val="CharStyle14"/>
    <w:link w:val="Style21"/>
    <w:rsid w:val="00BA6C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3">
    <w:name w:val="Char Style 23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4">
    <w:name w:val="Char Style 24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5">
    <w:name w:val="Char Style 25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6">
    <w:name w:val="Char Style 26"/>
    <w:basedOn w:val="CharStyle11"/>
    <w:rsid w:val="00BA6C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7">
    <w:name w:val="Char Style 27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8">
    <w:name w:val="Char Style 28"/>
    <w:basedOn w:val="CharStyle11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9">
    <w:name w:val="Char Style 29"/>
    <w:basedOn w:val="CharStyle14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paragraph" w:customStyle="1" w:styleId="Style10">
    <w:name w:val="Style 10"/>
    <w:basedOn w:val="a"/>
    <w:rsid w:val="00BA6C8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val="ru" w:eastAsia="ru-RU"/>
    </w:rPr>
  </w:style>
  <w:style w:type="paragraph" w:customStyle="1" w:styleId="Style13">
    <w:name w:val="Style 13"/>
    <w:basedOn w:val="a"/>
    <w:link w:val="CharStyle14"/>
    <w:rsid w:val="00BA6C87"/>
    <w:pPr>
      <w:widowControl w:val="0"/>
      <w:shd w:val="clear" w:color="auto" w:fill="FFFFFF"/>
      <w:spacing w:after="0" w:line="317" w:lineRule="exact"/>
    </w:pPr>
    <w:rPr>
      <w:sz w:val="25"/>
      <w:szCs w:val="25"/>
    </w:rPr>
  </w:style>
  <w:style w:type="paragraph" w:styleId="a7">
    <w:name w:val="Body Text Indent"/>
    <w:basedOn w:val="a"/>
    <w:link w:val="a8"/>
    <w:semiHidden/>
    <w:unhideWhenUsed/>
    <w:rsid w:val="00BA6C87"/>
    <w:pPr>
      <w:spacing w:after="120" w:line="240" w:lineRule="auto"/>
      <w:ind w:left="283"/>
    </w:pPr>
    <w:rPr>
      <w:rFonts w:ascii="TimesET" w:eastAsia="Calibri" w:hAnsi="TimesET" w:cs="Times New Roman"/>
      <w:sz w:val="24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A6C87"/>
    <w:rPr>
      <w:rFonts w:ascii="TimesET" w:eastAsia="Calibri" w:hAnsi="TimesET" w:cs="Times New Roman"/>
      <w:sz w:val="24"/>
      <w:szCs w:val="28"/>
      <w:lang w:eastAsia="ru-RU"/>
    </w:rPr>
  </w:style>
  <w:style w:type="paragraph" w:customStyle="1" w:styleId="FORMATTEXT">
    <w:name w:val=".FORMATTEXT"/>
    <w:uiPriority w:val="99"/>
    <w:rsid w:val="00BA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Шаблон14 Знак"/>
    <w:basedOn w:val="a0"/>
    <w:link w:val="140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0">
    <w:name w:val="Шаблон14"/>
    <w:basedOn w:val="a"/>
    <w:link w:val="14"/>
    <w:qFormat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5">
    <w:name w:val="Char Style 15"/>
    <w:basedOn w:val="CharStyle14"/>
    <w:link w:val="Style14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"/>
    </w:rPr>
  </w:style>
  <w:style w:type="character" w:customStyle="1" w:styleId="CharStyle8">
    <w:name w:val="Char Style 8"/>
    <w:basedOn w:val="a0"/>
    <w:rsid w:val="00BA6C8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">
    <w:name w:val="Char Style 3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0Exact">
    <w:name w:val="Char Style 10 Exact"/>
    <w:basedOn w:val="CharStyle24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12Exact">
    <w:name w:val="Char Style 12 Exact"/>
    <w:basedOn w:val="a0"/>
    <w:link w:val="Style11"/>
    <w:rsid w:val="00BA6C87"/>
    <w:rPr>
      <w:spacing w:val="17"/>
      <w:w w:val="60"/>
      <w:sz w:val="8"/>
      <w:szCs w:val="8"/>
      <w:shd w:val="clear" w:color="auto" w:fill="FFFFFF"/>
    </w:rPr>
  </w:style>
  <w:style w:type="character" w:customStyle="1" w:styleId="CharStyle14Exact">
    <w:name w:val="Char Style 14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CharStyle14Exact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"/>
    </w:rPr>
  </w:style>
  <w:style w:type="character" w:customStyle="1" w:styleId="CharStyle17Exact">
    <w:name w:val="Char Style 17 Exact"/>
    <w:basedOn w:val="a0"/>
    <w:link w:val="Style16"/>
    <w:rsid w:val="00BA6C87"/>
    <w:rPr>
      <w:rFonts w:ascii="Arial" w:eastAsia="Arial" w:hAnsi="Arial" w:cs="Arial"/>
      <w:spacing w:val="14"/>
      <w:sz w:val="11"/>
      <w:szCs w:val="11"/>
      <w:shd w:val="clear" w:color="auto" w:fill="FFFFFF"/>
    </w:rPr>
  </w:style>
  <w:style w:type="character" w:customStyle="1" w:styleId="CharStyle18Exact">
    <w:name w:val="Char Style 18 Exact"/>
    <w:basedOn w:val="CharStyle17Exact"/>
    <w:rsid w:val="00BA6C87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"/>
    </w:rPr>
  </w:style>
  <w:style w:type="paragraph" w:customStyle="1" w:styleId="Style11">
    <w:name w:val="Style 11"/>
    <w:basedOn w:val="a"/>
    <w:link w:val="CharStyle12Exact"/>
    <w:rsid w:val="00BA6C87"/>
    <w:pPr>
      <w:widowControl w:val="0"/>
      <w:shd w:val="clear" w:color="auto" w:fill="FFFFFF"/>
      <w:spacing w:after="0" w:line="0" w:lineRule="atLeast"/>
    </w:pPr>
    <w:rPr>
      <w:spacing w:val="17"/>
      <w:w w:val="60"/>
      <w:sz w:val="8"/>
      <w:szCs w:val="8"/>
    </w:rPr>
  </w:style>
  <w:style w:type="paragraph" w:customStyle="1" w:styleId="Style16">
    <w:name w:val="Style 16"/>
    <w:basedOn w:val="a"/>
    <w:link w:val="CharStyle17Exact"/>
    <w:rsid w:val="00BA6C8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4"/>
      <w:sz w:val="11"/>
      <w:szCs w:val="11"/>
    </w:rPr>
  </w:style>
  <w:style w:type="character" w:customStyle="1" w:styleId="CharStyle5">
    <w:name w:val="Char Style 5"/>
    <w:basedOn w:val="a0"/>
    <w:link w:val="Style4"/>
    <w:rsid w:val="00BA6C8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9Exact">
    <w:name w:val="Char Style 19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CharStyle5"/>
    <w:rsid w:val="00BA6C87"/>
    <w:rPr>
      <w:rFonts w:ascii="Arial" w:eastAsia="Arial" w:hAnsi="Arial" w:cs="Arial"/>
      <w:color w:val="000000"/>
      <w:spacing w:val="1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4">
    <w:name w:val="Style 4"/>
    <w:basedOn w:val="a"/>
    <w:link w:val="CharStyle5"/>
    <w:rsid w:val="00BA6C87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CharStyle18">
    <w:name w:val="Char Style 18"/>
    <w:basedOn w:val="a0"/>
    <w:link w:val="Style17"/>
    <w:rsid w:val="00D97B6F"/>
    <w:rPr>
      <w:sz w:val="26"/>
      <w:szCs w:val="26"/>
      <w:shd w:val="clear" w:color="auto" w:fill="FFFFFF"/>
    </w:rPr>
  </w:style>
  <w:style w:type="paragraph" w:customStyle="1" w:styleId="Style14">
    <w:name w:val="Style 14"/>
    <w:basedOn w:val="a"/>
    <w:link w:val="CharStyle15"/>
    <w:rsid w:val="00D97B6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/>
    </w:rPr>
  </w:style>
  <w:style w:type="paragraph" w:customStyle="1" w:styleId="Style17">
    <w:name w:val="Style 17"/>
    <w:basedOn w:val="a"/>
    <w:link w:val="CharStyle18"/>
    <w:rsid w:val="00D97B6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Style21">
    <w:name w:val="Style 21"/>
    <w:basedOn w:val="a"/>
    <w:link w:val="CharStyle22"/>
    <w:rsid w:val="00DC09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color w:val="000000"/>
      <w:sz w:val="25"/>
      <w:szCs w:val="25"/>
      <w:lang w:val="ru"/>
    </w:rPr>
  </w:style>
  <w:style w:type="character" w:customStyle="1" w:styleId="CharStyle3Exact">
    <w:name w:val="Char Style 3 Exact"/>
    <w:basedOn w:val="a0"/>
    <w:rsid w:val="00070BC4"/>
    <w:rPr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CharStyle5Exact">
    <w:name w:val="Char Style 5 Exact"/>
    <w:basedOn w:val="a0"/>
    <w:rsid w:val="00070BC4"/>
    <w:rPr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paragraph" w:customStyle="1" w:styleId="Style12">
    <w:name w:val="Style 12"/>
    <w:basedOn w:val="a"/>
    <w:link w:val="CharStyle13"/>
    <w:rsid w:val="007C7A7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character" w:customStyle="1" w:styleId="CharStyle16">
    <w:name w:val="Char Style 16"/>
    <w:basedOn w:val="a0"/>
    <w:rsid w:val="005E250B"/>
    <w:rPr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CharStyle21">
    <w:name w:val="Char Style 21"/>
    <w:basedOn w:val="CharStyle16"/>
    <w:rsid w:val="005E2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95B7-519B-41F6-AC27-23D43ED0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13</cp:revision>
  <dcterms:created xsi:type="dcterms:W3CDTF">2019-10-22T09:13:00Z</dcterms:created>
  <dcterms:modified xsi:type="dcterms:W3CDTF">2020-04-30T08:14:00Z</dcterms:modified>
</cp:coreProperties>
</file>